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964B" w14:textId="01001152" w:rsidR="00C874E5" w:rsidRDefault="0059094B" w:rsidP="0059094B">
      <w:pPr>
        <w:pStyle w:val="Titre"/>
      </w:pPr>
      <w:r>
        <w:t>Qualité dans l’éducation numérique</w:t>
      </w:r>
      <w:r w:rsidR="0084379E">
        <w:t xml:space="preserve"> </w:t>
      </w:r>
    </w:p>
    <w:p w14:paraId="26AED43A" w14:textId="77777777" w:rsidR="0084379E" w:rsidRDefault="0084379E"/>
    <w:p w14:paraId="414A5DB3" w14:textId="1B936BFF" w:rsidR="0084379E" w:rsidRDefault="0084379E">
      <w:proofErr w:type="gramStart"/>
      <w:r w:rsidRPr="0084379E">
        <w:rPr>
          <w:lang w:val="en-US"/>
        </w:rPr>
        <w:t>Source :</w:t>
      </w:r>
      <w:proofErr w:type="gramEnd"/>
      <w:r w:rsidRPr="0084379E">
        <w:rPr>
          <w:lang w:val="en-US"/>
        </w:rPr>
        <w:t xml:space="preserve"> </w:t>
      </w:r>
      <w:r w:rsidRPr="0084379E">
        <w:rPr>
          <w:lang w:val="en-US"/>
        </w:rPr>
        <w:t xml:space="preserve">OCDE, Staring, F., Brown, M., Bacsich, P., &amp; </w:t>
      </w:r>
      <w:proofErr w:type="spellStart"/>
      <w:r w:rsidRPr="0084379E">
        <w:rPr>
          <w:lang w:val="en-US"/>
        </w:rPr>
        <w:t>Ifenthaler</w:t>
      </w:r>
      <w:proofErr w:type="spellEnd"/>
      <w:r w:rsidRPr="0084379E">
        <w:rPr>
          <w:lang w:val="en-US"/>
        </w:rPr>
        <w:t>, D. (</w:t>
      </w:r>
      <w:r w:rsidRPr="0071145A">
        <w:rPr>
          <w:b/>
          <w:bCs/>
          <w:lang w:val="en-US"/>
        </w:rPr>
        <w:t>2022</w:t>
      </w:r>
      <w:r w:rsidRPr="0084379E">
        <w:rPr>
          <w:lang w:val="en-US"/>
        </w:rPr>
        <w:t xml:space="preserve">). Digital Higher Education: Emerging Quality Standards, Practices and Supports. OECD Education Working Paper No. 281. </w:t>
      </w:r>
      <w:r w:rsidRPr="0084379E">
        <w:rPr>
          <w:i/>
          <w:iCs/>
        </w:rPr>
        <w:t xml:space="preserve">OECD Education </w:t>
      </w:r>
      <w:proofErr w:type="spellStart"/>
      <w:r w:rsidRPr="0084379E">
        <w:rPr>
          <w:i/>
          <w:iCs/>
        </w:rPr>
        <w:t>Working</w:t>
      </w:r>
      <w:proofErr w:type="spellEnd"/>
      <w:r w:rsidRPr="0084379E">
        <w:rPr>
          <w:i/>
          <w:iCs/>
        </w:rPr>
        <w:t xml:space="preserve"> Papers No. 281</w:t>
      </w:r>
      <w:r w:rsidRPr="0084379E">
        <w:t xml:space="preserve">. </w:t>
      </w:r>
      <w:hyperlink r:id="rId6" w:history="1">
        <w:r w:rsidRPr="00AD1E07">
          <w:rPr>
            <w:rStyle w:val="Lienhypertexte"/>
          </w:rPr>
          <w:t>https://doi.org/10.1787/f622f257-en</w:t>
        </w:r>
      </w:hyperlink>
      <w:r>
        <w:t xml:space="preserve"> </w:t>
      </w:r>
    </w:p>
    <w:p w14:paraId="5F64812E" w14:textId="455EF703" w:rsidR="0084379E" w:rsidRDefault="0084379E">
      <w:r>
        <w:t>Traduction automatique</w:t>
      </w:r>
    </w:p>
    <w:p w14:paraId="73C67FD9" w14:textId="448AEC81" w:rsidR="0071145A" w:rsidRPr="00691D8F" w:rsidRDefault="0071145A">
      <w:pPr>
        <w:rPr>
          <w:lang w:val="en-US"/>
        </w:rPr>
      </w:pPr>
      <w:r>
        <w:t xml:space="preserve">Ces critères et ce document ne parle absolument d’IA. En </w:t>
      </w:r>
      <w:r w:rsidR="00886ADF">
        <w:t xml:space="preserve">aout </w:t>
      </w:r>
      <w:r>
        <w:t xml:space="preserve">2025, il n’existe pas encore de critères qualité prenant en compte l’IA. </w:t>
      </w:r>
      <w:r w:rsidR="00886ADF">
        <w:t>Voir par ex.</w:t>
      </w:r>
      <w:r w:rsidR="00691D8F">
        <w:t xml:space="preserve"> </w:t>
      </w:r>
      <w:r w:rsidR="00691D8F" w:rsidRPr="00691D8F">
        <w:rPr>
          <w:lang w:val="en-US"/>
        </w:rPr>
        <w:t>Mapping AI in Higher Education: Key Guidelines and Policy Recommendations</w:t>
      </w:r>
      <w:r w:rsidR="00691D8F">
        <w:rPr>
          <w:lang w:val="en-US"/>
        </w:rPr>
        <w:t>,</w:t>
      </w:r>
      <w:r w:rsidR="00886ADF" w:rsidRPr="00691D8F">
        <w:rPr>
          <w:lang w:val="en-US"/>
        </w:rPr>
        <w:t xml:space="preserve"> </w:t>
      </w:r>
      <w:r w:rsidR="00691D8F">
        <w:fldChar w:fldCharType="begin"/>
      </w:r>
      <w:r w:rsidR="00691D8F" w:rsidRPr="00691D8F">
        <w:rPr>
          <w:lang w:val="en-US"/>
        </w:rPr>
        <w:instrText>HYPERLINK "</w:instrText>
      </w:r>
      <w:r w:rsidR="00691D8F" w:rsidRPr="00691D8F">
        <w:rPr>
          <w:lang w:val="en-US"/>
        </w:rPr>
        <w:instrText>https://futurium.ec.europa.eu/en/european-ai-alliance/best-practices/ai-higher-education-mapping-key-guidelines-recommendations</w:instrText>
      </w:r>
      <w:r w:rsidR="00691D8F" w:rsidRPr="00691D8F">
        <w:rPr>
          <w:lang w:val="en-US"/>
        </w:rPr>
        <w:instrText>"</w:instrText>
      </w:r>
      <w:r w:rsidR="00691D8F">
        <w:fldChar w:fldCharType="separate"/>
      </w:r>
      <w:r w:rsidR="00691D8F" w:rsidRPr="00691D8F">
        <w:rPr>
          <w:rStyle w:val="Lienhypertexte"/>
          <w:lang w:val="en-US"/>
        </w:rPr>
        <w:t>https://futurium.ec.europa.eu/en/european-ai-alliance/best-practices/ai-higher-education-mapping-key-guidelines-recommendations</w:t>
      </w:r>
      <w:r w:rsidR="00691D8F">
        <w:fldChar w:fldCharType="end"/>
      </w:r>
      <w:r w:rsidR="00691D8F" w:rsidRPr="00691D8F">
        <w:rPr>
          <w:lang w:val="en-US"/>
        </w:rPr>
        <w:t xml:space="preserve"> </w:t>
      </w:r>
    </w:p>
    <w:p w14:paraId="4CF01C86" w14:textId="36F25641" w:rsidR="00BD19CD" w:rsidRDefault="002D72F4" w:rsidP="0059094B">
      <w:pPr>
        <w:pStyle w:val="Titre1"/>
      </w:pPr>
      <w:r>
        <w:t xml:space="preserve">Critères </w:t>
      </w:r>
      <w:r w:rsidR="0059094B">
        <w:t xml:space="preserve">d’assurance </w:t>
      </w:r>
      <w:r w:rsidR="00BA5C8C">
        <w:t xml:space="preserve">clés </w:t>
      </w:r>
      <w:r w:rsidR="008B7A41">
        <w:t>pour l’éducation numérique au niveau tertiaire</w:t>
      </w:r>
    </w:p>
    <w:p w14:paraId="03F3BB27" w14:textId="79AE82E4" w:rsidR="008B7A41" w:rsidRPr="008B7A41" w:rsidRDefault="008B7A41" w:rsidP="008B7A41">
      <w:r>
        <w:t xml:space="preserve">Ces critères sont structurés selon la roue de Deming </w:t>
      </w:r>
      <w:r w:rsidR="00FA0059">
        <w:t>(</w:t>
      </w:r>
      <w:r w:rsidR="00FA0059" w:rsidRPr="00FA0059">
        <w:t>PDCA plan-do-check-</w:t>
      </w:r>
      <w:proofErr w:type="spellStart"/>
      <w:r w:rsidR="00FA0059" w:rsidRPr="00FA0059">
        <w:t>act</w:t>
      </w:r>
      <w:proofErr w:type="spellEnd"/>
      <w:r w:rsidR="00FA0059">
        <w:t xml:space="preserve">) </w:t>
      </w:r>
      <w:r w:rsidR="009255A0">
        <w:t xml:space="preserve">et identifiés sur la base d’un certain nombre de référentiels qualités qui se trouvent dans </w:t>
      </w:r>
      <w:r w:rsidR="00B73E56">
        <w:t>l’annexe B,</w:t>
      </w:r>
      <w:r w:rsidR="009255A0">
        <w:t xml:space="preserve"> tableau</w:t>
      </w:r>
      <w:r w:rsidR="00B73E56">
        <w:t>x 16 et 1</w:t>
      </w:r>
      <w:r w:rsidR="002C6FE3">
        <w:t>7, pp. 96-7.</w:t>
      </w:r>
    </w:p>
    <w:tbl>
      <w:tblPr>
        <w:tblStyle w:val="Grilledutableau"/>
        <w:tblW w:w="0" w:type="auto"/>
        <w:tblLook w:val="04A0" w:firstRow="1" w:lastRow="0" w:firstColumn="1" w:lastColumn="0" w:noHBand="0" w:noVBand="1"/>
      </w:tblPr>
      <w:tblGrid>
        <w:gridCol w:w="2880"/>
        <w:gridCol w:w="2880"/>
        <w:gridCol w:w="2880"/>
      </w:tblGrid>
      <w:tr w:rsidR="00BD19CD" w:rsidRPr="00BD19CD" w14:paraId="780ECA39" w14:textId="77777777" w:rsidTr="0050104A">
        <w:tc>
          <w:tcPr>
            <w:tcW w:w="2880" w:type="dxa"/>
          </w:tcPr>
          <w:p w14:paraId="32831B45" w14:textId="77777777" w:rsidR="00BD19CD" w:rsidRPr="00BD19CD" w:rsidRDefault="00BD19CD" w:rsidP="0050104A">
            <w:pPr>
              <w:rPr>
                <w:b/>
                <w:bCs/>
              </w:rPr>
            </w:pPr>
            <w:r w:rsidRPr="00BD19CD">
              <w:rPr>
                <w:b/>
                <w:bCs/>
              </w:rPr>
              <w:t>Phase</w:t>
            </w:r>
          </w:p>
        </w:tc>
        <w:tc>
          <w:tcPr>
            <w:tcW w:w="2880" w:type="dxa"/>
          </w:tcPr>
          <w:p w14:paraId="6AB9F0B1" w14:textId="77777777" w:rsidR="00BD19CD" w:rsidRPr="00BD19CD" w:rsidRDefault="00BD19CD" w:rsidP="0050104A">
            <w:pPr>
              <w:rPr>
                <w:b/>
                <w:bCs/>
              </w:rPr>
            </w:pPr>
            <w:r w:rsidRPr="00BD19CD">
              <w:rPr>
                <w:b/>
                <w:bCs/>
              </w:rPr>
              <w:t>Description</w:t>
            </w:r>
          </w:p>
        </w:tc>
        <w:tc>
          <w:tcPr>
            <w:tcW w:w="2880" w:type="dxa"/>
          </w:tcPr>
          <w:p w14:paraId="7A53B334" w14:textId="77777777" w:rsidR="00BD19CD" w:rsidRPr="00BD19CD" w:rsidRDefault="00BD19CD" w:rsidP="0050104A">
            <w:pPr>
              <w:rPr>
                <w:b/>
                <w:bCs/>
              </w:rPr>
            </w:pPr>
            <w:r w:rsidRPr="00BD19CD">
              <w:rPr>
                <w:b/>
                <w:bCs/>
              </w:rPr>
              <w:t>Principes</w:t>
            </w:r>
          </w:p>
        </w:tc>
      </w:tr>
      <w:tr w:rsidR="00BD19CD" w14:paraId="66DC30D7" w14:textId="77777777" w:rsidTr="0050104A">
        <w:tc>
          <w:tcPr>
            <w:tcW w:w="2880" w:type="dxa"/>
          </w:tcPr>
          <w:p w14:paraId="6A70E21E" w14:textId="77777777" w:rsidR="00BD19CD" w:rsidRPr="00B420F6" w:rsidRDefault="00BD19CD" w:rsidP="0050104A">
            <w:pPr>
              <w:rPr>
                <w:lang w:val="fr-CH"/>
              </w:rPr>
            </w:pPr>
            <w:r w:rsidRPr="00B420F6">
              <w:rPr>
                <w:lang w:val="fr-CH"/>
              </w:rPr>
              <w:t>PLANIFIER &amp; AJUSTER : Stratégie institutionnelle, culture qualité et infrastructures pour l’enseignement et l’apprentissage numériques</w:t>
            </w:r>
          </w:p>
        </w:tc>
        <w:tc>
          <w:tcPr>
            <w:tcW w:w="2880" w:type="dxa"/>
          </w:tcPr>
          <w:p w14:paraId="079F8B05" w14:textId="77777777" w:rsidR="00BD19CD" w:rsidRPr="00B420F6" w:rsidRDefault="00BD19CD" w:rsidP="0050104A">
            <w:pPr>
              <w:rPr>
                <w:lang w:val="fr-CH"/>
              </w:rPr>
            </w:pPr>
            <w:r w:rsidRPr="00B420F6">
              <w:rPr>
                <w:lang w:val="fr-CH"/>
              </w:rPr>
              <w:t xml:space="preserve">L’établissement dispose d’objectifs clairs dans tous ses domaines d’activité, ainsi que de politiques et processus explicites pour l’assurance qualité (AQ) et le développement. Ces éléments sont élaborés avec la participation des groupes de parties prenantes concernés, formalisés par écrit et communiqués de manière transparente. Les décisions liées à la qualité sont fondées sur des données probantes, consignées par écrit et communiquées clairement. La mise en œuvre des mesures s’effectue en dialogue avec les départements concernés et fait l’objet de discussions dans le cadre des suivis. Les résultats alimentent la révision des objectifs, des principes et des processus, et le cycle « </w:t>
            </w:r>
            <w:r w:rsidRPr="00B420F6">
              <w:rPr>
                <w:lang w:val="fr-CH"/>
              </w:rPr>
              <w:lastRenderedPageBreak/>
              <w:t>Planifier–Faire–Vérifier–Ajuster » recommence.</w:t>
            </w:r>
          </w:p>
        </w:tc>
        <w:tc>
          <w:tcPr>
            <w:tcW w:w="2880" w:type="dxa"/>
          </w:tcPr>
          <w:p w14:paraId="0EA4E46F" w14:textId="77777777" w:rsidR="00BD19CD" w:rsidRDefault="00BD19CD" w:rsidP="0050104A">
            <w:r w:rsidRPr="00B420F6">
              <w:rPr>
                <w:lang w:val="fr-CH"/>
              </w:rPr>
              <w:lastRenderedPageBreak/>
              <w:t>1. Vision, mission et stratégie pour la numérisation et l’innovation</w:t>
            </w:r>
            <w:r w:rsidRPr="00B420F6">
              <w:rPr>
                <w:lang w:val="fr-CH"/>
              </w:rPr>
              <w:br/>
              <w:t>2. Culture organisationnelle de la qualité centrée sur la numérisation, l’innovation et la collaboration</w:t>
            </w:r>
            <w:r w:rsidRPr="00B420F6">
              <w:rPr>
                <w:lang w:val="fr-CH"/>
              </w:rPr>
              <w:br/>
              <w:t xml:space="preserve">3. </w:t>
            </w:r>
            <w:r>
              <w:t xml:space="preserve">Infrastructures pour </w:t>
            </w:r>
            <w:proofErr w:type="spellStart"/>
            <w:r>
              <w:t>l’enseignement</w:t>
            </w:r>
            <w:proofErr w:type="spellEnd"/>
            <w:r>
              <w:t xml:space="preserve"> numérique</w:t>
            </w:r>
          </w:p>
        </w:tc>
      </w:tr>
      <w:tr w:rsidR="00BD19CD" w:rsidRPr="00B420F6" w14:paraId="7612FEBE" w14:textId="77777777" w:rsidTr="0050104A">
        <w:tc>
          <w:tcPr>
            <w:tcW w:w="2880" w:type="dxa"/>
          </w:tcPr>
          <w:p w14:paraId="284AA2FD" w14:textId="77777777" w:rsidR="00BD19CD" w:rsidRPr="00B420F6" w:rsidRDefault="00BD19CD" w:rsidP="0050104A">
            <w:pPr>
              <w:rPr>
                <w:lang w:val="fr-CH"/>
              </w:rPr>
            </w:pPr>
            <w:r w:rsidRPr="00B420F6">
              <w:rPr>
                <w:lang w:val="fr-CH"/>
              </w:rPr>
              <w:t>METTRE EN ŒUVRE : Mise en œuvre des processus d’assurance qualité et des dispositifs de soutien à l’enseignement et à l’apprentissage numériques</w:t>
            </w:r>
          </w:p>
        </w:tc>
        <w:tc>
          <w:tcPr>
            <w:tcW w:w="2880" w:type="dxa"/>
          </w:tcPr>
          <w:p w14:paraId="525B998D" w14:textId="77777777" w:rsidR="00BD19CD" w:rsidRPr="00B420F6" w:rsidRDefault="00BD19CD" w:rsidP="0050104A">
            <w:pPr>
              <w:rPr>
                <w:lang w:val="fr-CH"/>
              </w:rPr>
            </w:pPr>
            <w:r w:rsidRPr="00B420F6">
              <w:rPr>
                <w:lang w:val="fr-CH"/>
              </w:rPr>
              <w:t>Dans la mesure du possible, les processus d’assurance qualité et de développement sont mis en œuvre de manière décentralisée, par l’unité directement responsable. L’université soutient ces processus de manière centrale, à travers des services professionnels et la mise à disposition des ressources nécessaires.</w:t>
            </w:r>
          </w:p>
        </w:tc>
        <w:tc>
          <w:tcPr>
            <w:tcW w:w="2880" w:type="dxa"/>
          </w:tcPr>
          <w:p w14:paraId="1F1EA7AB" w14:textId="77777777" w:rsidR="00BD19CD" w:rsidRPr="00B420F6" w:rsidRDefault="00BD19CD" w:rsidP="0050104A">
            <w:pPr>
              <w:rPr>
                <w:lang w:val="fr-CH"/>
              </w:rPr>
            </w:pPr>
            <w:r w:rsidRPr="00B420F6">
              <w:rPr>
                <w:lang w:val="fr-CH"/>
              </w:rPr>
              <w:t>4. Contenus de cours numériques, conception, mise en œuvre et évaluation</w:t>
            </w:r>
            <w:r w:rsidRPr="00B420F6">
              <w:rPr>
                <w:lang w:val="fr-CH"/>
              </w:rPr>
              <w:br/>
              <w:t>5. Soutien et incitation au développement professionnel du personnel</w:t>
            </w:r>
            <w:r w:rsidRPr="00B420F6">
              <w:rPr>
                <w:lang w:val="fr-CH"/>
              </w:rPr>
              <w:br/>
              <w:t>6. Préparer et accompagner les étudiants à l’apprentissage numérique</w:t>
            </w:r>
          </w:p>
        </w:tc>
      </w:tr>
      <w:tr w:rsidR="00BD19CD" w14:paraId="2F276759" w14:textId="77777777" w:rsidTr="0050104A">
        <w:tc>
          <w:tcPr>
            <w:tcW w:w="2880" w:type="dxa"/>
          </w:tcPr>
          <w:p w14:paraId="51C3C4FF" w14:textId="77777777" w:rsidR="00BD19CD" w:rsidRPr="00B420F6" w:rsidRDefault="00BD19CD" w:rsidP="0050104A">
            <w:pPr>
              <w:rPr>
                <w:lang w:val="fr-CH"/>
              </w:rPr>
            </w:pPr>
            <w:r>
              <w:rPr>
                <w:lang w:val="fr-CH"/>
              </w:rPr>
              <w:t>CONTROLER / SUIVRE</w:t>
            </w:r>
            <w:r w:rsidRPr="00B420F6">
              <w:rPr>
                <w:lang w:val="fr-CH"/>
              </w:rPr>
              <w:t xml:space="preserve"> : Rétroaction et suivi de la performance de la qualité de l’enseignement et de l’apprentissage numériques</w:t>
            </w:r>
          </w:p>
        </w:tc>
        <w:tc>
          <w:tcPr>
            <w:tcW w:w="2880" w:type="dxa"/>
          </w:tcPr>
          <w:p w14:paraId="5E693BC8" w14:textId="77777777" w:rsidR="00BD19CD" w:rsidRPr="00B420F6" w:rsidRDefault="00BD19CD" w:rsidP="0050104A">
            <w:pPr>
              <w:rPr>
                <w:lang w:val="fr-CH"/>
              </w:rPr>
            </w:pPr>
            <w:r w:rsidRPr="00B420F6">
              <w:rPr>
                <w:lang w:val="fr-CH"/>
              </w:rPr>
              <w:t>Les informations obtenues à travers les processus d’assurance qualité et de développement sont communiquées aux parties prenantes concernées à tous les niveaux de l’université, dans le cadre de boucles de rétroaction. En plus de la qualité des services rendus, l’établissement évalue régulièrement son système d’assurance qualité et de développement sur la base de données qualitatives et quantitatives, de revues externes et/ou de comparaisons.</w:t>
            </w:r>
          </w:p>
        </w:tc>
        <w:tc>
          <w:tcPr>
            <w:tcW w:w="2880" w:type="dxa"/>
          </w:tcPr>
          <w:p w14:paraId="06275CFF" w14:textId="77777777" w:rsidR="00BD19CD" w:rsidRDefault="00BD19CD" w:rsidP="0050104A">
            <w:r w:rsidRPr="00B420F6">
              <w:rPr>
                <w:lang w:val="fr-CH"/>
              </w:rPr>
              <w:t>7. Suivi de la qualité de l’enseignement et de l’apprentissage numériques</w:t>
            </w:r>
            <w:r w:rsidRPr="00B420F6">
              <w:rPr>
                <w:lang w:val="fr-CH"/>
              </w:rPr>
              <w:br/>
              <w:t xml:space="preserve">8. </w:t>
            </w:r>
            <w:proofErr w:type="spellStart"/>
            <w:r>
              <w:t>Renforcement</w:t>
            </w:r>
            <w:proofErr w:type="spellEnd"/>
            <w:r>
              <w:t xml:space="preserve"> des pratiques de </w:t>
            </w:r>
            <w:proofErr w:type="spellStart"/>
            <w:r>
              <w:t>rétroaction</w:t>
            </w:r>
            <w:proofErr w:type="spellEnd"/>
            <w:r>
              <w:t xml:space="preserve"> et de </w:t>
            </w:r>
            <w:proofErr w:type="spellStart"/>
            <w:r>
              <w:t>suivi</w:t>
            </w:r>
            <w:proofErr w:type="spellEnd"/>
          </w:p>
        </w:tc>
      </w:tr>
    </w:tbl>
    <w:p w14:paraId="075EA397" w14:textId="6135AB2D" w:rsidR="00EA2942" w:rsidRDefault="00400C65" w:rsidP="00400C65">
      <w:pPr>
        <w:pStyle w:val="Lgende"/>
      </w:pPr>
      <w:r>
        <w:t xml:space="preserve">Tableau </w:t>
      </w:r>
      <w:fldSimple w:instr=" SEQ Tableau \* ARABIC ">
        <w:r w:rsidR="000421EE">
          <w:rPr>
            <w:noProof/>
          </w:rPr>
          <w:t>1</w:t>
        </w:r>
      </w:fldSimple>
      <w:r>
        <w:t xml:space="preserve">: Traduction du Tableau 5, p. </w:t>
      </w:r>
      <w:r w:rsidR="002D72F4">
        <w:t xml:space="preserve">26 - </w:t>
      </w:r>
      <w:r w:rsidRPr="008E5CA9">
        <w:t>Principes clés pour l’assurance qualité de l’enseignement supérieur numérique</w:t>
      </w:r>
      <w:r w:rsidR="00BD19CD" w:rsidRPr="00075321">
        <w:br/>
        <w:t>Source : Basé sur une analyse des domaines de qualité inclus dans 12 cadres internationaux d’assurance qualité de l’enseignement supérieur numérique (Annexe B, Tableaux 16 et 17) et sur Tague, Nancy R. (2005[73]), “Plan–Do–</w:t>
      </w:r>
      <w:proofErr w:type="spellStart"/>
      <w:r w:rsidR="00BD19CD" w:rsidRPr="00075321">
        <w:t>Study</w:t>
      </w:r>
      <w:proofErr w:type="spellEnd"/>
      <w:r w:rsidR="00BD19CD" w:rsidRPr="00075321">
        <w:t>–</w:t>
      </w:r>
      <w:proofErr w:type="spellStart"/>
      <w:r w:rsidR="00BD19CD" w:rsidRPr="00075321">
        <w:t>Act</w:t>
      </w:r>
      <w:proofErr w:type="spellEnd"/>
      <w:r w:rsidR="00BD19CD" w:rsidRPr="00075321">
        <w:t xml:space="preserve"> cycle”, The </w:t>
      </w:r>
      <w:proofErr w:type="spellStart"/>
      <w:r w:rsidR="00BD19CD" w:rsidRPr="00075321">
        <w:t>Quality</w:t>
      </w:r>
      <w:proofErr w:type="spellEnd"/>
      <w:r w:rsidR="00BD19CD" w:rsidRPr="00075321">
        <w:t xml:space="preserve"> Toolbox, </w:t>
      </w:r>
      <w:r w:rsidR="00EA2942">
        <w:fldChar w:fldCharType="begin"/>
      </w:r>
      <w:r w:rsidR="00EA2942">
        <w:instrText>HYPERLINK "</w:instrText>
      </w:r>
      <w:r w:rsidR="00EA2942" w:rsidRPr="00075321">
        <w:instrText>https://www.worldcat.org/title/quality-toolbox/oclc/57251077</w:instrText>
      </w:r>
      <w:r w:rsidR="00EA2942">
        <w:instrText>"</w:instrText>
      </w:r>
      <w:r w:rsidR="00EA2942">
        <w:fldChar w:fldCharType="separate"/>
      </w:r>
      <w:r w:rsidR="00EA2942" w:rsidRPr="00AD1E07">
        <w:rPr>
          <w:rStyle w:val="Lienhypertexte"/>
        </w:rPr>
        <w:t>https://www.worldcat.org/title/quality-toolbox/oclc/57251077</w:t>
      </w:r>
      <w:r w:rsidR="00EA2942">
        <w:fldChar w:fldCharType="end"/>
      </w:r>
    </w:p>
    <w:p w14:paraId="1E27CF75" w14:textId="77777777" w:rsidR="00EA2942" w:rsidRDefault="00EA2942" w:rsidP="00400C65">
      <w:pPr>
        <w:pStyle w:val="Lgende"/>
      </w:pPr>
    </w:p>
    <w:p w14:paraId="0F4671FB" w14:textId="77777777" w:rsidR="00C542E3" w:rsidRDefault="00EA2942" w:rsidP="00CA1933">
      <w:r>
        <w:t xml:space="preserve">Pour les détails, voir les tableaux </w:t>
      </w:r>
      <w:r w:rsidR="00C542E3">
        <w:t xml:space="preserve">6 à 12 du document original qui aborde respectivement les indicateurs suivants : </w:t>
      </w:r>
    </w:p>
    <w:p w14:paraId="441D9165" w14:textId="77777777" w:rsidR="002013BF" w:rsidRPr="00CA1933" w:rsidRDefault="002013BF" w:rsidP="00CA1933">
      <w:pPr>
        <w:pStyle w:val="Paragraphedeliste"/>
        <w:numPr>
          <w:ilvl w:val="0"/>
          <w:numId w:val="3"/>
        </w:numPr>
        <w:rPr>
          <w:lang w:val="en-US"/>
        </w:rPr>
      </w:pPr>
      <w:r w:rsidRPr="00CA1933">
        <w:rPr>
          <w:lang w:val="en-US"/>
        </w:rPr>
        <w:t>Table 6. Common quality indicators for planning and adjusting the institutional strategy, quality culture and infrastructure for digital teaching and learning 32</w:t>
      </w:r>
    </w:p>
    <w:p w14:paraId="3D5F98E6" w14:textId="77777777" w:rsidR="002013BF" w:rsidRPr="00CA1933" w:rsidRDefault="002013BF" w:rsidP="00CA1933">
      <w:pPr>
        <w:pStyle w:val="Paragraphedeliste"/>
        <w:numPr>
          <w:ilvl w:val="0"/>
          <w:numId w:val="3"/>
        </w:numPr>
        <w:rPr>
          <w:lang w:val="en-US"/>
        </w:rPr>
      </w:pPr>
      <w:r w:rsidRPr="00CA1933">
        <w:rPr>
          <w:lang w:val="en-US"/>
        </w:rPr>
        <w:t xml:space="preserve">Table 7. Common quality indicators for the implementation of quality assurance processes and </w:t>
      </w:r>
      <w:proofErr w:type="gramStart"/>
      <w:r w:rsidRPr="00CA1933">
        <w:rPr>
          <w:lang w:val="en-US"/>
        </w:rPr>
        <w:t>supports</w:t>
      </w:r>
      <w:proofErr w:type="gramEnd"/>
      <w:r w:rsidRPr="00CA1933">
        <w:rPr>
          <w:lang w:val="en-US"/>
        </w:rPr>
        <w:t xml:space="preserve"> for digital teaching and learning 36</w:t>
      </w:r>
    </w:p>
    <w:p w14:paraId="177974CB" w14:textId="77777777" w:rsidR="002013BF" w:rsidRPr="00CA1933" w:rsidRDefault="002013BF" w:rsidP="00CA1933">
      <w:pPr>
        <w:pStyle w:val="Paragraphedeliste"/>
        <w:numPr>
          <w:ilvl w:val="0"/>
          <w:numId w:val="3"/>
        </w:numPr>
        <w:rPr>
          <w:lang w:val="en-US"/>
        </w:rPr>
      </w:pPr>
      <w:r w:rsidRPr="00CA1933">
        <w:rPr>
          <w:lang w:val="en-US"/>
        </w:rPr>
        <w:t>Table 8. Quality model for open educational resources (OER) 40</w:t>
      </w:r>
    </w:p>
    <w:p w14:paraId="29823CEE" w14:textId="77777777" w:rsidR="002013BF" w:rsidRPr="00CA1933" w:rsidRDefault="002013BF" w:rsidP="00CA1933">
      <w:pPr>
        <w:pStyle w:val="Paragraphedeliste"/>
        <w:numPr>
          <w:ilvl w:val="0"/>
          <w:numId w:val="3"/>
        </w:numPr>
        <w:rPr>
          <w:lang w:val="en-US"/>
        </w:rPr>
      </w:pPr>
      <w:r w:rsidRPr="00CA1933">
        <w:rPr>
          <w:lang w:val="en-US"/>
        </w:rPr>
        <w:t>Table 9. Universal Design for Learning (UDL) guidelines 41</w:t>
      </w:r>
    </w:p>
    <w:p w14:paraId="04683E3F" w14:textId="77777777" w:rsidR="002013BF" w:rsidRPr="00CA1933" w:rsidRDefault="002013BF" w:rsidP="00CA1933">
      <w:pPr>
        <w:pStyle w:val="Paragraphedeliste"/>
        <w:numPr>
          <w:ilvl w:val="0"/>
          <w:numId w:val="3"/>
        </w:numPr>
        <w:rPr>
          <w:lang w:val="en-US"/>
        </w:rPr>
      </w:pPr>
      <w:r w:rsidRPr="00CA1933">
        <w:rPr>
          <w:lang w:val="en-US"/>
        </w:rPr>
        <w:t xml:space="preserve">Table 10. </w:t>
      </w:r>
      <w:proofErr w:type="spellStart"/>
      <w:r w:rsidRPr="00CA1933">
        <w:rPr>
          <w:lang w:val="en-US"/>
        </w:rPr>
        <w:t>TeSLA</w:t>
      </w:r>
      <w:proofErr w:type="spellEnd"/>
      <w:r w:rsidRPr="00CA1933">
        <w:rPr>
          <w:lang w:val="en-US"/>
        </w:rPr>
        <w:t xml:space="preserve"> framework for the quality assurance of e-assessment 43</w:t>
      </w:r>
    </w:p>
    <w:p w14:paraId="2E28AAD0" w14:textId="77777777" w:rsidR="002013BF" w:rsidRPr="00CA1933" w:rsidRDefault="002013BF" w:rsidP="00CA1933">
      <w:pPr>
        <w:pStyle w:val="Paragraphedeliste"/>
        <w:numPr>
          <w:ilvl w:val="0"/>
          <w:numId w:val="3"/>
        </w:numPr>
        <w:rPr>
          <w:lang w:val="en-US"/>
        </w:rPr>
      </w:pPr>
      <w:r w:rsidRPr="00CA1933">
        <w:rPr>
          <w:lang w:val="en-US"/>
        </w:rPr>
        <w:t>Table 11. Digital capabilities framework for students, University of Tasmania, Australia 48</w:t>
      </w:r>
    </w:p>
    <w:p w14:paraId="15B48A77" w14:textId="692DC2AE" w:rsidR="00BD19CD" w:rsidRPr="00CA1933" w:rsidRDefault="002013BF" w:rsidP="00CA1933">
      <w:pPr>
        <w:pStyle w:val="Paragraphedeliste"/>
        <w:numPr>
          <w:ilvl w:val="0"/>
          <w:numId w:val="3"/>
        </w:numPr>
        <w:rPr>
          <w:lang w:val="en-US"/>
        </w:rPr>
      </w:pPr>
      <w:r w:rsidRPr="00CA1933">
        <w:rPr>
          <w:lang w:val="en-US"/>
        </w:rPr>
        <w:t>Table 12. Common quality indicators for feedback and performance monitoring of digital teaching and learning quality 49</w:t>
      </w:r>
      <w:r w:rsidR="002D72F4" w:rsidRPr="00CA1933">
        <w:rPr>
          <w:lang w:val="en-US"/>
        </w:rPr>
        <w:t xml:space="preserve"> </w:t>
      </w:r>
    </w:p>
    <w:sectPr w:rsidR="00BD19CD" w:rsidRPr="00CA1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193"/>
    <w:multiLevelType w:val="hybridMultilevel"/>
    <w:tmpl w:val="B3E6F7D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A444D78"/>
    <w:multiLevelType w:val="hybridMultilevel"/>
    <w:tmpl w:val="965003F8"/>
    <w:lvl w:ilvl="0" w:tplc="2B781B68">
      <w:start w:val="1"/>
      <w:numFmt w:val="decimal"/>
      <w:pStyle w:val="Titre1"/>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59535DB"/>
    <w:multiLevelType w:val="hybridMultilevel"/>
    <w:tmpl w:val="C2ACEFF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73004288">
    <w:abstractNumId w:val="1"/>
  </w:num>
  <w:num w:numId="2" w16cid:durableId="1105003039">
    <w:abstractNumId w:val="0"/>
  </w:num>
  <w:num w:numId="3" w16cid:durableId="121164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15"/>
    <w:rsid w:val="000421EE"/>
    <w:rsid w:val="000819DC"/>
    <w:rsid w:val="001832D7"/>
    <w:rsid w:val="00193997"/>
    <w:rsid w:val="001A6EB9"/>
    <w:rsid w:val="001C7DEF"/>
    <w:rsid w:val="002013BF"/>
    <w:rsid w:val="00254F02"/>
    <w:rsid w:val="002C6FE3"/>
    <w:rsid w:val="002D72F4"/>
    <w:rsid w:val="003A03F4"/>
    <w:rsid w:val="00400C65"/>
    <w:rsid w:val="00574950"/>
    <w:rsid w:val="0059094B"/>
    <w:rsid w:val="00691D8F"/>
    <w:rsid w:val="0071145A"/>
    <w:rsid w:val="00765BCA"/>
    <w:rsid w:val="0084379E"/>
    <w:rsid w:val="0087585C"/>
    <w:rsid w:val="00886ADF"/>
    <w:rsid w:val="008B7A41"/>
    <w:rsid w:val="009255A0"/>
    <w:rsid w:val="00A87096"/>
    <w:rsid w:val="00A976E1"/>
    <w:rsid w:val="00B73E56"/>
    <w:rsid w:val="00BA5C8C"/>
    <w:rsid w:val="00BD19CD"/>
    <w:rsid w:val="00BF603B"/>
    <w:rsid w:val="00C26D04"/>
    <w:rsid w:val="00C337B8"/>
    <w:rsid w:val="00C542E3"/>
    <w:rsid w:val="00C874E5"/>
    <w:rsid w:val="00CA1933"/>
    <w:rsid w:val="00D25815"/>
    <w:rsid w:val="00D842C1"/>
    <w:rsid w:val="00DE2FF8"/>
    <w:rsid w:val="00EA2942"/>
    <w:rsid w:val="00EB6985"/>
    <w:rsid w:val="00EF1875"/>
    <w:rsid w:val="00FA00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DACC"/>
  <w15:chartTrackingRefBased/>
  <w15:docId w15:val="{E2D7E4F2-EABD-4A7C-83C8-2D778FF0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094B"/>
    <w:pPr>
      <w:keepNext/>
      <w:keepLines/>
      <w:numPr>
        <w:numId w:val="1"/>
      </w:numPr>
      <w:spacing w:before="360" w:after="400"/>
      <w:ind w:left="357" w:hanging="357"/>
      <w:outlineLvl w:val="0"/>
    </w:pPr>
    <w:rPr>
      <w:rFonts w:asciiTheme="majorHAnsi" w:eastAsiaTheme="majorEastAsia" w:hAnsiTheme="majorHAnsi" w:cstheme="majorBidi"/>
      <w:b/>
      <w:color w:val="000000" w:themeColor="text1"/>
      <w:sz w:val="24"/>
      <w:szCs w:val="40"/>
    </w:rPr>
  </w:style>
  <w:style w:type="paragraph" w:styleId="Titre2">
    <w:name w:val="heading 2"/>
    <w:basedOn w:val="Normal"/>
    <w:next w:val="Normal"/>
    <w:link w:val="Titre2Car"/>
    <w:uiPriority w:val="9"/>
    <w:semiHidden/>
    <w:unhideWhenUsed/>
    <w:qFormat/>
    <w:rsid w:val="00D25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58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58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58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58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58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58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58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094B"/>
    <w:rPr>
      <w:rFonts w:asciiTheme="majorHAnsi" w:eastAsiaTheme="majorEastAsia" w:hAnsiTheme="majorHAnsi" w:cstheme="majorBidi"/>
      <w:b/>
      <w:color w:val="000000" w:themeColor="text1"/>
      <w:sz w:val="24"/>
      <w:szCs w:val="40"/>
    </w:rPr>
  </w:style>
  <w:style w:type="character" w:customStyle="1" w:styleId="Titre2Car">
    <w:name w:val="Titre 2 Car"/>
    <w:basedOn w:val="Policepardfaut"/>
    <w:link w:val="Titre2"/>
    <w:uiPriority w:val="9"/>
    <w:semiHidden/>
    <w:rsid w:val="00D258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58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58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58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58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58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58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5815"/>
    <w:rPr>
      <w:rFonts w:eastAsiaTheme="majorEastAsia" w:cstheme="majorBidi"/>
      <w:color w:val="272727" w:themeColor="text1" w:themeTint="D8"/>
    </w:rPr>
  </w:style>
  <w:style w:type="paragraph" w:styleId="Titre">
    <w:name w:val="Title"/>
    <w:basedOn w:val="Normal"/>
    <w:next w:val="Normal"/>
    <w:link w:val="TitreCar"/>
    <w:uiPriority w:val="10"/>
    <w:qFormat/>
    <w:rsid w:val="0059094B"/>
    <w:pPr>
      <w:spacing w:after="80" w:line="240" w:lineRule="auto"/>
      <w:contextualSpacing/>
      <w:jc w:val="center"/>
    </w:pPr>
    <w:rPr>
      <w:rFonts w:asciiTheme="majorHAnsi" w:eastAsiaTheme="majorEastAsia" w:hAnsiTheme="majorHAnsi" w:cstheme="majorBidi"/>
      <w:spacing w:val="-10"/>
      <w:kern w:val="28"/>
      <w:sz w:val="32"/>
      <w:szCs w:val="56"/>
    </w:rPr>
  </w:style>
  <w:style w:type="character" w:customStyle="1" w:styleId="TitreCar">
    <w:name w:val="Titre Car"/>
    <w:basedOn w:val="Policepardfaut"/>
    <w:link w:val="Titre"/>
    <w:uiPriority w:val="10"/>
    <w:rsid w:val="0059094B"/>
    <w:rPr>
      <w:rFonts w:asciiTheme="majorHAnsi" w:eastAsiaTheme="majorEastAsia" w:hAnsiTheme="majorHAnsi" w:cstheme="majorBidi"/>
      <w:spacing w:val="-10"/>
      <w:kern w:val="28"/>
      <w:sz w:val="32"/>
      <w:szCs w:val="56"/>
    </w:rPr>
  </w:style>
  <w:style w:type="paragraph" w:styleId="Sous-titre">
    <w:name w:val="Subtitle"/>
    <w:basedOn w:val="Normal"/>
    <w:next w:val="Normal"/>
    <w:link w:val="Sous-titreCar"/>
    <w:uiPriority w:val="11"/>
    <w:qFormat/>
    <w:rsid w:val="00D258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58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5815"/>
    <w:pPr>
      <w:spacing w:before="160"/>
      <w:jc w:val="center"/>
    </w:pPr>
    <w:rPr>
      <w:i/>
      <w:iCs/>
      <w:color w:val="404040" w:themeColor="text1" w:themeTint="BF"/>
    </w:rPr>
  </w:style>
  <w:style w:type="character" w:customStyle="1" w:styleId="CitationCar">
    <w:name w:val="Citation Car"/>
    <w:basedOn w:val="Policepardfaut"/>
    <w:link w:val="Citation"/>
    <w:uiPriority w:val="29"/>
    <w:rsid w:val="00D25815"/>
    <w:rPr>
      <w:i/>
      <w:iCs/>
      <w:color w:val="404040" w:themeColor="text1" w:themeTint="BF"/>
    </w:rPr>
  </w:style>
  <w:style w:type="paragraph" w:styleId="Paragraphedeliste">
    <w:name w:val="List Paragraph"/>
    <w:basedOn w:val="Normal"/>
    <w:uiPriority w:val="34"/>
    <w:qFormat/>
    <w:rsid w:val="00D25815"/>
    <w:pPr>
      <w:ind w:left="720"/>
      <w:contextualSpacing/>
    </w:pPr>
  </w:style>
  <w:style w:type="character" w:styleId="Accentuationintense">
    <w:name w:val="Intense Emphasis"/>
    <w:basedOn w:val="Policepardfaut"/>
    <w:uiPriority w:val="21"/>
    <w:qFormat/>
    <w:rsid w:val="00D25815"/>
    <w:rPr>
      <w:i/>
      <w:iCs/>
      <w:color w:val="0F4761" w:themeColor="accent1" w:themeShade="BF"/>
    </w:rPr>
  </w:style>
  <w:style w:type="paragraph" w:styleId="Citationintense">
    <w:name w:val="Intense Quote"/>
    <w:basedOn w:val="Normal"/>
    <w:next w:val="Normal"/>
    <w:link w:val="CitationintenseCar"/>
    <w:uiPriority w:val="30"/>
    <w:qFormat/>
    <w:rsid w:val="00D25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5815"/>
    <w:rPr>
      <w:i/>
      <w:iCs/>
      <w:color w:val="0F4761" w:themeColor="accent1" w:themeShade="BF"/>
    </w:rPr>
  </w:style>
  <w:style w:type="character" w:styleId="Rfrenceintense">
    <w:name w:val="Intense Reference"/>
    <w:basedOn w:val="Policepardfaut"/>
    <w:uiPriority w:val="32"/>
    <w:qFormat/>
    <w:rsid w:val="00D25815"/>
    <w:rPr>
      <w:b/>
      <w:bCs/>
      <w:smallCaps/>
      <w:color w:val="0F4761" w:themeColor="accent1" w:themeShade="BF"/>
      <w:spacing w:val="5"/>
    </w:rPr>
  </w:style>
  <w:style w:type="character" w:styleId="Lienhypertexte">
    <w:name w:val="Hyperlink"/>
    <w:basedOn w:val="Policepardfaut"/>
    <w:uiPriority w:val="99"/>
    <w:unhideWhenUsed/>
    <w:rsid w:val="0084379E"/>
    <w:rPr>
      <w:color w:val="467886" w:themeColor="hyperlink"/>
      <w:u w:val="single"/>
    </w:rPr>
  </w:style>
  <w:style w:type="character" w:styleId="Mentionnonrsolue">
    <w:name w:val="Unresolved Mention"/>
    <w:basedOn w:val="Policepardfaut"/>
    <w:uiPriority w:val="99"/>
    <w:semiHidden/>
    <w:unhideWhenUsed/>
    <w:rsid w:val="0084379E"/>
    <w:rPr>
      <w:color w:val="605E5C"/>
      <w:shd w:val="clear" w:color="auto" w:fill="E1DFDD"/>
    </w:rPr>
  </w:style>
  <w:style w:type="table" w:styleId="Grilledutableau">
    <w:name w:val="Table Grid"/>
    <w:basedOn w:val="TableauNormal"/>
    <w:uiPriority w:val="59"/>
    <w:rsid w:val="00BD19C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400C6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787/f622f257-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4398-DD50-4B94-9E77-1A535D06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773</Words>
  <Characters>4254</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Class</dc:creator>
  <cp:keywords/>
  <dc:description/>
  <cp:lastModifiedBy>Barbara Class</cp:lastModifiedBy>
  <cp:revision>33</cp:revision>
  <cp:lastPrinted>2025-08-08T11:48:00Z</cp:lastPrinted>
  <dcterms:created xsi:type="dcterms:W3CDTF">2025-08-08T09:00:00Z</dcterms:created>
  <dcterms:modified xsi:type="dcterms:W3CDTF">2025-08-08T11:48:00Z</dcterms:modified>
</cp:coreProperties>
</file>